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黑体"/>
          <w:b/>
          <w:sz w:val="40"/>
        </w:rPr>
        <w:t>基于 STM32 的智能温室监测与自动灌溉系统硬件方案</w:t>
      </w:r>
    </w:p>
    <w:p>
      <w:pPr>
        <w:keepNext/>
        <w:spacing w:before="200" w:after="100"/>
      </w:pPr>
      <w:r>
        <w:rPr>
          <w:rFonts w:ascii="Times New Roman" w:hAnsi="Times New Roman" w:eastAsia="黑体"/>
          <w:b/>
          <w:sz w:val="30"/>
        </w:rPr>
        <w:t>一、方案概述</w:t>
      </w:r>
    </w:p>
    <w:p>
      <w:pPr>
        <w:keepNext w:val="0"/>
        <w:spacing w:line="360" w:lineRule="auto" w:after="120"/>
        <w:ind w:firstLine="420"/>
        <w:jc w:val="both"/>
      </w:pPr>
      <w:r>
        <w:rPr>
          <w:rFonts w:ascii="Times New Roman" w:hAnsi="Times New Roman" w:eastAsia="宋体"/>
          <w:b w:val="0"/>
          <w:sz w:val="22"/>
        </w:rPr>
        <w:t>“基于 STM32 的智能温室监测与自动灌溉系统”硬件方案以功能闭环、供电可靠、接口清晰和便于调试为设计原则。系统从应用需求出发划分主控、输入采集、人机交互、通信、执行驱动和电源保护六个部分，先保证核心采集与控制链路稳定，再根据进度增加联网、数据记录或扩展交互功能。</w:t>
      </w:r>
    </w:p>
    <w:p>
      <w:pPr>
        <w:keepNext w:val="0"/>
        <w:spacing w:line="360" w:lineRule="auto" w:after="120"/>
        <w:ind w:firstLine="420"/>
        <w:jc w:val="both"/>
      </w:pPr>
      <w:r>
        <w:rPr>
          <w:rFonts w:ascii="Times New Roman" w:hAnsi="Times New Roman" w:eastAsia="宋体"/>
          <w:b w:val="0"/>
          <w:sz w:val="22"/>
        </w:rPr>
        <w:t>总体设计采用模块化结构。传感器与输入模块负责获取被测对象状态，主控根据采样结果、用户设定和运行模式完成判断，显示与通信模块反馈状态，执行与报警模块完成实际动作。各模块均需明确供电电压、接口类型、引脚占用、信号方向和异常处理方法。</w:t>
      </w:r>
    </w:p>
    <w:p>
      <w:pPr>
        <w:keepNext w:val="0"/>
        <w:spacing w:line="360" w:lineRule="auto" w:after="120"/>
        <w:ind w:firstLine="420"/>
        <w:jc w:val="both"/>
      </w:pPr>
      <w:r>
        <w:rPr>
          <w:rFonts w:ascii="Times New Roman" w:hAnsi="Times New Roman" w:eastAsia="宋体"/>
          <w:b w:val="0"/>
          <w:sz w:val="22"/>
        </w:rPr>
        <w:t>硬件实施分为开发板验证、原理图设计、PCB或规范接线、焊接检查和整机联调五个阶段。每个模块先使用独立测试程序验证，再接入统一工程，避免在多模块同时工作时难以定位电源、时序或程序问题。</w:t>
      </w:r>
    </w:p>
    <w:p>
      <w:pPr>
        <w:keepNext/>
        <w:spacing w:before="200" w:after="100"/>
      </w:pPr>
      <w:r>
        <w:rPr>
          <w:rFonts w:ascii="Times New Roman" w:hAnsi="Times New Roman" w:eastAsia="黑体"/>
          <w:b/>
          <w:sz w:val="30"/>
        </w:rPr>
        <w:t>二、主控与固件方案</w:t>
      </w:r>
    </w:p>
    <w:p>
      <w:pPr>
        <w:keepNext w:val="0"/>
        <w:spacing w:line="360" w:lineRule="auto" w:after="120"/>
        <w:ind w:firstLine="420"/>
        <w:jc w:val="both"/>
      </w:pPr>
      <w:r>
        <w:rPr>
          <w:rFonts w:ascii="Times New Roman" w:hAnsi="Times New Roman" w:eastAsia="宋体"/>
          <w:b w:val="0"/>
          <w:sz w:val="22"/>
        </w:rPr>
        <w:t>主控选用STM32F103C8T6，负责完成采集、滤波、状态判断、参数设置、显示刷新、通信解析及执行控制。该型号的GPIO、定时器、ADC和常用通信外设能够覆盖本课题核心功能，并可通过SWD和调试串口进行程序下载与运行状态观察。</w:t>
      </w:r>
    </w:p>
    <w:p>
      <w:pPr>
        <w:keepNext w:val="0"/>
        <w:spacing w:line="360" w:lineRule="auto" w:after="120"/>
        <w:ind w:firstLine="420"/>
        <w:jc w:val="both"/>
      </w:pPr>
      <w:r>
        <w:rPr>
          <w:rFonts w:ascii="Times New Roman" w:hAnsi="Times New Roman" w:eastAsia="宋体"/>
          <w:b w:val="0"/>
          <w:sz w:val="22"/>
        </w:rPr>
        <w:t>固件工程统一采用STM32F10x标准外设库。代码按板级支持、外设驱动、功能服务和应用状态机分层组织，每个传感器或执行器建立独立源文件与接口函数，主循环只负责调度，不在单个驱动中长时间阻塞。本地同类工程的标准库代码资料最完整，便于本科生理解寄存器、外设初始化和模块化驱动。</w:t>
      </w:r>
    </w:p>
    <w:p>
      <w:pPr>
        <w:keepNext w:val="0"/>
        <w:spacing w:line="360" w:lineRule="auto" w:after="120"/>
        <w:ind w:firstLine="420"/>
        <w:jc w:val="both"/>
      </w:pPr>
      <w:r>
        <w:rPr>
          <w:rFonts w:ascii="Times New Roman" w:hAnsi="Times New Roman" w:eastAsia="宋体"/>
          <w:b w:val="0"/>
          <w:sz w:val="22"/>
        </w:rPr>
        <w:t>最小系统应包含稳定的3.3V电源、去耦电容、复位、时钟、启动配置和SWD接口。未使用引脚应避免悬空引起误动作；调试串口、关键电源点和重要信号线应预留测试点。</w:t>
      </w:r>
    </w:p>
    <w:p>
      <w:pPr>
        <w:keepNext/>
        <w:spacing w:before="200" w:after="100"/>
      </w:pPr>
      <w:r>
        <w:rPr>
          <w:rFonts w:ascii="Times New Roman" w:hAnsi="Times New Roman" w:eastAsia="黑体"/>
          <w:b/>
          <w:sz w:val="30"/>
        </w:rPr>
        <w:t>三、硬件系统框图</w:t>
      </w:r>
    </w:p>
    <w:p>
      <w:pPr>
        <w:keepNext w:val="0"/>
        <w:spacing w:line="360" w:lineRule="auto" w:after="120"/>
        <w:ind w:firstLine="420"/>
        <w:jc w:val="both"/>
      </w:pPr>
      <w:r>
        <w:rPr>
          <w:rFonts w:ascii="Times New Roman" w:hAnsi="Times New Roman" w:eastAsia="宋体"/>
          <w:b w:val="0"/>
          <w:sz w:val="22"/>
        </w:rPr>
        <w:t>系统模块连接关系见下图。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3600" cy="348125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基于 STM32 的智能温室监测与自动灌溉系统_hardware_plan_20260915_083010_hardware_framewor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1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 w:eastAsia="宋体"/>
          <w:b w:val="0"/>
          <w:sz w:val="21"/>
        </w:rPr>
        <w:t>图1 硬件系统框图</w:t>
      </w:r>
    </w:p>
    <w:p>
      <w:pPr>
        <w:keepNext/>
        <w:spacing w:before="200" w:after="100"/>
      </w:pPr>
      <w:r>
        <w:rPr>
          <w:rFonts w:ascii="Times New Roman" w:hAnsi="Times New Roman" w:eastAsia="黑体"/>
          <w:b/>
          <w:sz w:val="30"/>
        </w:rPr>
        <w:t>四、模块选型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329"/>
        <w:gridCol w:w="2329"/>
        <w:gridCol w:w="2329"/>
        <w:gridCol w:w="2329"/>
      </w:tblGrid>
      <w:tr>
        <w:trPr>
          <w:tblHeader/>
          <w:cantSplit/>
        </w:trPr>
        <w:tc>
          <w:tcPr>
            <w:tcW w:type="dxa" w:w="2329"/>
            <w:vAlign w:val="center"/>
          </w:tcPr>
          <w:p>
            <w:pPr>
              <w:spacing w:before="9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推荐模块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主要作用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接口</w:t>
            </w:r>
          </w:p>
        </w:tc>
      </w:tr>
      <w:tr>
        <w:trPr>
          <w:cantSplit/>
        </w:trPr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STM32F103C8T6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主控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完成数据采集、状态判断、显示通信和执行控制。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GPIO、ADC、定时器、UART、I2C、SPI</w:t>
            </w:r>
          </w:p>
        </w:tc>
      </w:tr>
      <w:tr>
        <w:trPr>
          <w:cantSplit/>
        </w:trPr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STM32F103C8T6最小系统板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功能模块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完成题目对应的采集、交互、通信或执行功能。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按最终模块手册确定</w:t>
            </w:r>
          </w:p>
        </w:tc>
      </w:tr>
      <w:tr>
        <w:trPr>
          <w:cantSplit/>
        </w:trPr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温湿度传感器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传感器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获取环境温度与相对湿度，支撑环境监测和联动控制。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单线GPIO</w:t>
            </w:r>
          </w:p>
        </w:tc>
      </w:tr>
      <w:tr>
        <w:trPr>
          <w:cantSplit/>
        </w:trPr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电容式土壤湿度传感器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传感器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完成题目对应的采集、交互、通信或执行功能。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按最终模块手册确定</w:t>
            </w:r>
          </w:p>
        </w:tc>
      </w:tr>
      <w:tr>
        <w:trPr>
          <w:cantSplit/>
        </w:trPr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BH1750光照传感器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传感器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测量环境光照强度，为补光、调光或状态判断提供依据。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I2C</w:t>
            </w:r>
          </w:p>
        </w:tc>
      </w:tr>
      <w:tr>
        <w:trPr>
          <w:cantSplit/>
        </w:trPr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水位检测模块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传感器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检测容器内液位变化，用于缺水、溢出或饮水行为判断。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ADC或GPIO</w:t>
            </w:r>
          </w:p>
        </w:tc>
      </w:tr>
      <w:tr>
        <w:trPr>
          <w:cantSplit/>
        </w:trPr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2路继电器模块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执行与驱动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完成题目对应的采集、交互、通信或执行功能。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按最终模块手册确定</w:t>
            </w:r>
          </w:p>
        </w:tc>
      </w:tr>
      <w:tr>
        <w:trPr>
          <w:cantSplit/>
        </w:trPr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12V微型潜水泵/电磁阀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功能模块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完成题目对应的采集、交互、通信或执行功能。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按最终模块手册确定</w:t>
            </w:r>
          </w:p>
        </w:tc>
      </w:tr>
      <w:tr>
        <w:trPr>
          <w:cantSplit/>
        </w:trPr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ESP8266-01S WiFi模块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通信模块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完成题目对应的采集、交互、通信或执行功能。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按最终模块手册确定</w:t>
            </w:r>
          </w:p>
        </w:tc>
      </w:tr>
      <w:tr>
        <w:trPr>
          <w:cantSplit/>
        </w:trPr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96寸OLED显示屏（I2C）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人机交互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完成题目对应的采集、交互、通信或执行功能。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按最终模块手册确定</w:t>
            </w:r>
          </w:p>
        </w:tc>
      </w:tr>
      <w:tr>
        <w:trPr>
          <w:cantSplit/>
        </w:trPr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5V/12V双路开关电源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供电与保护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完成题目对应的采集、交互、通信或执行功能。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按最终模块手册确定</w:t>
            </w:r>
          </w:p>
        </w:tc>
      </w:tr>
      <w:tr>
        <w:trPr>
          <w:cantSplit/>
        </w:trPr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光耦隔离驱动电路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功能模块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完成题目对应的采集、交互、通信或执行功能。</w:t>
            </w:r>
          </w:p>
        </w:tc>
        <w:tc>
          <w:tcPr>
            <w:tcW w:type="dxa" w:w="2329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按最终模块手册确定</w:t>
            </w:r>
          </w:p>
        </w:tc>
      </w:tr>
    </w:tbl>
    <w:p>
      <w:pPr>
        <w:keepNext/>
        <w:spacing w:before="200" w:after="100"/>
      </w:pPr>
      <w:r>
        <w:rPr>
          <w:rFonts w:ascii="Times New Roman" w:hAnsi="Times New Roman" w:eastAsia="黑体"/>
          <w:b/>
          <w:sz w:val="30"/>
        </w:rPr>
        <w:t>五、传感器与模块介绍</w:t>
      </w:r>
    </w:p>
    <w:p>
      <w:pPr>
        <w:keepNext/>
        <w:spacing w:line="360" w:lineRule="auto" w:after="120"/>
        <w:jc w:val="both"/>
      </w:pPr>
      <w:r>
        <w:rPr>
          <w:rFonts w:ascii="Times New Roman" w:hAnsi="Times New Roman" w:eastAsia="宋体"/>
          <w:b w:val="0"/>
          <w:sz w:val="22"/>
        </w:rPr>
        <w:t>1. 温湿度传感器</w:t>
      </w:r>
    </w:p>
    <w:p>
      <w:pPr>
        <w:keepNext w:val="0"/>
        <w:spacing w:line="360" w:lineRule="auto" w:after="120"/>
        <w:ind w:firstLine="420"/>
        <w:jc w:val="both"/>
      </w:pPr>
      <w:r>
        <w:rPr>
          <w:rFonts w:ascii="Times New Roman" w:hAnsi="Times New Roman" w:eastAsia="宋体"/>
          <w:b w:val="0"/>
          <w:sz w:val="22"/>
        </w:rPr>
        <w:t>用途与原理：获取环境温度与相对湿度，支撑环境监测和联动控制。传感器内部完成温湿度采样与数字化，通过单线时序输出测量结果。</w:t>
      </w:r>
    </w:p>
    <w:p>
      <w:pPr>
        <w:keepNext w:val="0"/>
        <w:spacing w:line="360" w:lineRule="auto" w:after="120"/>
        <w:ind w:firstLine="420"/>
        <w:jc w:val="both"/>
      </w:pPr>
      <w:r>
        <w:rPr>
          <w:rFonts w:ascii="Times New Roman" w:hAnsi="Times New Roman" w:eastAsia="宋体"/>
          <w:b w:val="0"/>
          <w:sz w:val="22"/>
        </w:rPr>
        <w:t>接口与参数：接口为单线GPIO，供电要求为3.3V～5V。采样周期较慢，适合秒级环境监测；具体精度按最终型号数据手册确认。</w:t>
      </w:r>
    </w:p>
    <w:p>
      <w:pPr>
        <w:keepNext w:val="0"/>
        <w:spacing w:line="360" w:lineRule="auto" w:after="120"/>
        <w:ind w:firstLine="420"/>
        <w:jc w:val="both"/>
      </w:pPr>
      <w:r>
        <w:rPr>
          <w:rFonts w:ascii="Times New Roman" w:hAnsi="Times New Roman" w:eastAsia="宋体"/>
          <w:b w:val="0"/>
          <w:sz w:val="22"/>
        </w:rPr>
        <w:t>选型及注意事项：接口简单、价格低、教学资料丰富，可快速完成环境参数采集。远离发热器件和强气流，按规定采样周期读取，通信失败时保留重试与超时机制。可替代方案为SHT30或AHT20，可获得更好的精度与I2C接口体验。</w:t>
      </w:r>
    </w:p>
    <w:p>
      <w:pPr>
        <w:keepNext/>
        <w:spacing w:line="360" w:lineRule="auto" w:after="120"/>
        <w:jc w:val="both"/>
      </w:pPr>
      <w:r>
        <w:rPr>
          <w:rFonts w:ascii="Times New Roman" w:hAnsi="Times New Roman" w:eastAsia="宋体"/>
          <w:b w:val="0"/>
          <w:sz w:val="22"/>
        </w:rPr>
        <w:t>2. 电容式土壤湿度传感器</w:t>
      </w:r>
    </w:p>
    <w:p>
      <w:pPr>
        <w:keepNext w:val="0"/>
        <w:spacing w:line="360" w:lineRule="auto" w:after="120"/>
        <w:ind w:firstLine="420"/>
        <w:jc w:val="both"/>
      </w:pPr>
      <w:r>
        <w:rPr>
          <w:rFonts w:ascii="Times New Roman" w:hAnsi="Times New Roman" w:eastAsia="宋体"/>
          <w:b w:val="0"/>
          <w:sz w:val="22"/>
        </w:rPr>
        <w:t>用途与原理：完成题目对应的采集、交互、通信或执行功能。按照模块数据手册完成信号采集或控制，并由主控统一调度。</w:t>
      </w:r>
    </w:p>
    <w:p>
      <w:pPr>
        <w:keepNext w:val="0"/>
        <w:spacing w:line="360" w:lineRule="auto" w:after="120"/>
        <w:ind w:firstLine="420"/>
        <w:jc w:val="both"/>
      </w:pPr>
      <w:r>
        <w:rPr>
          <w:rFonts w:ascii="Times New Roman" w:hAnsi="Times New Roman" w:eastAsia="宋体"/>
          <w:b w:val="0"/>
          <w:sz w:val="22"/>
        </w:rPr>
        <w:t>接口与参数：接口为按最终模块手册确定，供电要求为按模块手册确认并与主控电平匹配。关键量程、精度、响应时间和负载能力以最终选型手册及实测结果为准。</w:t>
      </w:r>
    </w:p>
    <w:p>
      <w:pPr>
        <w:keepNext w:val="0"/>
        <w:spacing w:line="360" w:lineRule="auto" w:after="120"/>
        <w:ind w:firstLine="420"/>
        <w:jc w:val="both"/>
      </w:pPr>
      <w:r>
        <w:rPr>
          <w:rFonts w:ascii="Times New Roman" w:hAnsi="Times New Roman" w:eastAsia="宋体"/>
          <w:b w:val="0"/>
          <w:sz w:val="22"/>
        </w:rPr>
        <w:t>选型及注意事项：本地存在相近工程资料，适合分模块验证和本科毕业设计实现。确认供电、电平、接口时序和安装条件，预留测试点并设置异常处理。可替代方案为选择接口兼容、资料完整且购买方便的同类模块。</w:t>
      </w:r>
    </w:p>
    <w:p>
      <w:pPr>
        <w:keepNext/>
        <w:spacing w:line="360" w:lineRule="auto" w:after="120"/>
        <w:jc w:val="both"/>
      </w:pPr>
      <w:r>
        <w:rPr>
          <w:rFonts w:ascii="Times New Roman" w:hAnsi="Times New Roman" w:eastAsia="宋体"/>
          <w:b w:val="0"/>
          <w:sz w:val="22"/>
        </w:rPr>
        <w:t>3. BH1750光照传感器</w:t>
      </w:r>
    </w:p>
    <w:p>
      <w:pPr>
        <w:keepNext w:val="0"/>
        <w:spacing w:line="360" w:lineRule="auto" w:after="120"/>
        <w:ind w:firstLine="420"/>
        <w:jc w:val="both"/>
      </w:pPr>
      <w:r>
        <w:rPr>
          <w:rFonts w:ascii="Times New Roman" w:hAnsi="Times New Roman" w:eastAsia="宋体"/>
          <w:b w:val="0"/>
          <w:sz w:val="22"/>
        </w:rPr>
        <w:t>用途与原理：测量环境光照强度，为补光、调光或状态判断提供依据。光敏转换电路将照度转换为数字量，由内部ADC处理后通过I2C输出。</w:t>
      </w:r>
    </w:p>
    <w:p>
      <w:pPr>
        <w:keepNext w:val="0"/>
        <w:spacing w:line="360" w:lineRule="auto" w:after="120"/>
        <w:ind w:firstLine="420"/>
        <w:jc w:val="both"/>
      </w:pPr>
      <w:r>
        <w:rPr>
          <w:rFonts w:ascii="Times New Roman" w:hAnsi="Times New Roman" w:eastAsia="宋体"/>
          <w:b w:val="0"/>
          <w:sz w:val="22"/>
        </w:rPr>
        <w:t>接口与参数：接口为I2C，供电要求为模块通常支持3.3V～5V，芯片电平需按模块电路确认。适用于宽范围环境照度检测，分辨率和量程由工作模式决定。</w:t>
      </w:r>
    </w:p>
    <w:p>
      <w:pPr>
        <w:keepNext w:val="0"/>
        <w:spacing w:line="360" w:lineRule="auto" w:after="120"/>
        <w:ind w:firstLine="420"/>
        <w:jc w:val="both"/>
      </w:pPr>
      <w:r>
        <w:rPr>
          <w:rFonts w:ascii="Times New Roman" w:hAnsi="Times New Roman" w:eastAsia="宋体"/>
          <w:b w:val="0"/>
          <w:sz w:val="22"/>
        </w:rPr>
        <w:t>选型及注意事项：数字输出减少模拟噪声影响，驱动资料成熟，便于阈值控制。避免遮挡与直射饱和，确认I2C地址和上拉电压，安装位置应代表实际环境照度。可替代方案为光敏电阻加ADC，成本更低但需要标定且线性度较差。</w:t>
      </w:r>
    </w:p>
    <w:p>
      <w:pPr>
        <w:keepNext/>
        <w:spacing w:line="360" w:lineRule="auto" w:after="120"/>
        <w:jc w:val="both"/>
      </w:pPr>
      <w:r>
        <w:rPr>
          <w:rFonts w:ascii="Times New Roman" w:hAnsi="Times New Roman" w:eastAsia="宋体"/>
          <w:b w:val="0"/>
          <w:sz w:val="22"/>
        </w:rPr>
        <w:t>4. 水位检测模块</w:t>
      </w:r>
    </w:p>
    <w:p>
      <w:pPr>
        <w:keepNext w:val="0"/>
        <w:spacing w:line="360" w:lineRule="auto" w:after="120"/>
        <w:ind w:firstLine="420"/>
        <w:jc w:val="both"/>
      </w:pPr>
      <w:r>
        <w:rPr>
          <w:rFonts w:ascii="Times New Roman" w:hAnsi="Times New Roman" w:eastAsia="宋体"/>
          <w:b w:val="0"/>
          <w:sz w:val="22"/>
        </w:rPr>
        <w:t>用途与原理：检测容器内液位变化，用于缺水、溢出或饮水行为判断。液位变化引起电阻或电容特性变化，模块输出模拟量或开关量。</w:t>
      </w:r>
    </w:p>
    <w:p>
      <w:pPr>
        <w:keepNext w:val="0"/>
        <w:spacing w:line="360" w:lineRule="auto" w:after="120"/>
        <w:ind w:firstLine="420"/>
        <w:jc w:val="both"/>
      </w:pPr>
      <w:r>
        <w:rPr>
          <w:rFonts w:ascii="Times New Roman" w:hAnsi="Times New Roman" w:eastAsia="宋体"/>
          <w:b w:val="0"/>
          <w:sz w:val="22"/>
        </w:rPr>
        <w:t>接口与参数：接口为ADC或GPIO，供电要求为3.3V/5V，输出电平需与主控匹配。有效量程取决于探头尺寸和安装位置，应通过实物标定建立阈值。</w:t>
      </w:r>
    </w:p>
    <w:p>
      <w:pPr>
        <w:keepNext w:val="0"/>
        <w:spacing w:line="360" w:lineRule="auto" w:after="120"/>
        <w:ind w:firstLine="420"/>
        <w:jc w:val="both"/>
      </w:pPr>
      <w:r>
        <w:rPr>
          <w:rFonts w:ascii="Times New Roman" w:hAnsi="Times New Roman" w:eastAsia="宋体"/>
          <w:b w:val="0"/>
          <w:sz w:val="22"/>
        </w:rPr>
        <w:t>选型及注意事项：功能直观且便于与温度、提醒和报警逻辑联动。探头防腐、防水并避开液体晃动强烈区域；软件增加迟滞和多次采样确认。可替代方案为浮球开关、压力式液位传感器或超声波测距模块。</w:t>
      </w:r>
    </w:p>
    <w:p>
      <w:pPr>
        <w:keepNext/>
        <w:spacing w:before="200" w:after="100"/>
      </w:pPr>
      <w:r>
        <w:rPr>
          <w:rFonts w:ascii="Times New Roman" w:hAnsi="Times New Roman" w:eastAsia="黑体"/>
          <w:b/>
          <w:sz w:val="30"/>
        </w:rPr>
        <w:t>六、主控芯片要求与接口规划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3106"/>
        <w:gridCol w:w="3106"/>
        <w:gridCol w:w="3106"/>
      </w:tblGrid>
      <w:tr>
        <w:trPr>
          <w:tblHeader/>
          <w:cantSplit/>
        </w:trPr>
        <w:tc>
          <w:tcPr>
            <w:tcW w:type="dxa" w:w="3106"/>
            <w:vAlign w:val="center"/>
          </w:tcPr>
          <w:p>
            <w:pPr>
              <w:spacing w:before="9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主控芯片要求</w:t>
            </w:r>
          </w:p>
        </w:tc>
        <w:tc>
          <w:tcPr>
            <w:tcW w:type="dxa" w:w="3106"/>
            <w:vAlign w:val="center"/>
          </w:tcPr>
          <w:p>
            <w:pPr>
              <w:spacing w:before="9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用途</w:t>
            </w:r>
          </w:p>
        </w:tc>
        <w:tc>
          <w:tcPr>
            <w:tcW w:type="dxa" w:w="3106"/>
            <w:vAlign w:val="center"/>
          </w:tcPr>
          <w:p>
            <w:pPr>
              <w:spacing w:before="90"/>
              <w:jc w:val="center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掌握要求</w:t>
            </w:r>
          </w:p>
        </w:tc>
      </w:tr>
      <w:tr>
        <w:trPr>
          <w:cantSplit/>
        </w:trPr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GPIO</w:t>
            </w:r>
          </w:p>
        </w:tc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按键、状态输入、片选及执行控制</w:t>
            </w:r>
          </w:p>
        </w:tc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必须掌握</w:t>
            </w:r>
          </w:p>
        </w:tc>
      </w:tr>
      <w:tr>
        <w:trPr>
          <w:cantSplit/>
        </w:trPr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定时器/PWM</w:t>
            </w:r>
          </w:p>
        </w:tc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周期任务、功率调节和蜂鸣器控制</w:t>
            </w:r>
          </w:p>
        </w:tc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必须掌握</w:t>
            </w:r>
          </w:p>
        </w:tc>
      </w:tr>
      <w:tr>
        <w:trPr>
          <w:cantSplit/>
        </w:trPr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ADC</w:t>
            </w:r>
          </w:p>
        </w:tc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模拟传感器和电源状态采样</w:t>
            </w:r>
          </w:p>
        </w:tc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按方案掌握</w:t>
            </w:r>
          </w:p>
        </w:tc>
      </w:tr>
      <w:tr>
        <w:trPr>
          <w:cantSplit/>
        </w:trPr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UART</w:t>
            </w:r>
          </w:p>
        </w:tc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调试串口和无线模块通信</w:t>
            </w:r>
          </w:p>
        </w:tc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按方案掌握</w:t>
            </w:r>
          </w:p>
        </w:tc>
      </w:tr>
      <w:tr>
        <w:trPr>
          <w:cantSplit/>
        </w:trPr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I2C</w:t>
            </w:r>
          </w:p>
        </w:tc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显示屏和数字传感器通信</w:t>
            </w:r>
          </w:p>
        </w:tc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按方案掌握</w:t>
            </w:r>
          </w:p>
        </w:tc>
      </w:tr>
      <w:tr>
        <w:trPr>
          <w:cantSplit/>
        </w:trPr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SPI</w:t>
            </w:r>
          </w:p>
        </w:tc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RFID、存储器或高速外设通信</w:t>
            </w:r>
          </w:p>
        </w:tc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按方案掌握</w:t>
            </w:r>
          </w:p>
        </w:tc>
      </w:tr>
      <w:tr>
        <w:trPr>
          <w:cantSplit/>
        </w:trPr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EXTI</w:t>
            </w:r>
          </w:p>
        </w:tc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按键和外部事件响应</w:t>
            </w:r>
          </w:p>
        </w:tc>
        <w:tc>
          <w:tcPr>
            <w:tcW w:type="dxa" w:w="3106"/>
            <w:vAlign w:val="center"/>
          </w:tcPr>
          <w:p>
            <w:pPr>
              <w:spacing w:before="9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建议掌握</w:t>
            </w:r>
          </w:p>
        </w:tc>
      </w:tr>
    </w:tbl>
    <w:p>
      <w:pPr>
        <w:keepNext/>
        <w:spacing w:before="200" w:after="100"/>
      </w:pPr>
      <w:r>
        <w:rPr>
          <w:rFonts w:ascii="Times New Roman" w:hAnsi="Times New Roman" w:eastAsia="黑体"/>
          <w:b/>
          <w:sz w:val="30"/>
        </w:rPr>
        <w:t>七、电源与接口保护</w:t>
      </w:r>
    </w:p>
    <w:p>
      <w:pPr>
        <w:keepNext w:val="0"/>
        <w:spacing w:line="300" w:lineRule="auto" w:after="60"/>
        <w:jc w:val="both"/>
      </w:pPr>
      <w:r>
        <w:rPr>
          <w:rFonts w:ascii="Times New Roman" w:hAnsi="Times New Roman" w:eastAsia="宋体"/>
          <w:b w:val="0"/>
          <w:sz w:val="22"/>
        </w:rPr>
        <w:t>1. 先建立完整电源树，分别统计3.3V、5V和功率负载电流，稳压器和适配器保留足够余量。</w:t>
      </w:r>
    </w:p>
    <w:p>
      <w:pPr>
        <w:keepNext w:val="0"/>
        <w:spacing w:line="300" w:lineRule="auto" w:after="60"/>
        <w:jc w:val="both"/>
      </w:pPr>
      <w:r>
        <w:rPr>
          <w:rFonts w:ascii="Times New Roman" w:hAnsi="Times New Roman" w:eastAsia="宋体"/>
          <w:b w:val="0"/>
          <w:sz w:val="22"/>
        </w:rPr>
        <w:t>2. 主控和传感器电源采用就近去耦；功率执行器单独规划电源回路，但控制地保持可靠参考。</w:t>
      </w:r>
    </w:p>
    <w:p>
      <w:pPr>
        <w:keepNext w:val="0"/>
        <w:spacing w:line="300" w:lineRule="auto" w:after="60"/>
        <w:jc w:val="both"/>
      </w:pPr>
      <w:r>
        <w:rPr>
          <w:rFonts w:ascii="Times New Roman" w:hAnsi="Times New Roman" w:eastAsia="宋体"/>
          <w:b w:val="0"/>
          <w:sz w:val="22"/>
        </w:rPr>
        <w:t>3. 继电器、电机、电磁锁和加热负载必须通过晶体管或MOS驱动，并配置续流、过流、过温或反接保护。</w:t>
      </w:r>
    </w:p>
    <w:p>
      <w:pPr>
        <w:keepNext w:val="0"/>
        <w:spacing w:line="300" w:lineRule="auto" w:after="60"/>
        <w:jc w:val="both"/>
      </w:pPr>
      <w:r>
        <w:rPr>
          <w:rFonts w:ascii="Times New Roman" w:hAnsi="Times New Roman" w:eastAsia="宋体"/>
          <w:b w:val="0"/>
          <w:sz w:val="22"/>
        </w:rPr>
        <w:t>4. 所有进入主控的信号必须核对电平，5V输出经分压、电平转换或开漏方式接入3.3V引脚。</w:t>
      </w:r>
    </w:p>
    <w:p>
      <w:pPr>
        <w:keepNext w:val="0"/>
        <w:spacing w:line="300" w:lineRule="auto" w:after="60"/>
        <w:jc w:val="both"/>
      </w:pPr>
      <w:r>
        <w:rPr>
          <w:rFonts w:ascii="Times New Roman" w:hAnsi="Times New Roman" w:eastAsia="宋体"/>
          <w:b w:val="0"/>
          <w:sz w:val="22"/>
        </w:rPr>
        <w:t>5. 外部接口靠近板边并标注针脚与电压，必要时增加串联电阻、滤波、电气隔离或静电保护。</w:t>
      </w:r>
    </w:p>
    <w:p>
      <w:pPr>
        <w:keepNext/>
        <w:spacing w:before="200" w:after="100"/>
      </w:pPr>
      <w:r>
        <w:rPr>
          <w:rFonts w:ascii="Times New Roman" w:hAnsi="Times New Roman" w:eastAsia="黑体"/>
          <w:b/>
          <w:sz w:val="30"/>
        </w:rPr>
        <w:t>八、原理图与PCB设计注意事项</w:t>
      </w:r>
    </w:p>
    <w:p>
      <w:pPr>
        <w:keepNext w:val="0"/>
        <w:spacing w:line="300" w:lineRule="auto" w:after="60"/>
        <w:jc w:val="both"/>
      </w:pPr>
      <w:r>
        <w:rPr>
          <w:rFonts w:ascii="Times New Roman" w:hAnsi="Times New Roman" w:eastAsia="宋体"/>
          <w:b w:val="0"/>
          <w:sz w:val="22"/>
        </w:rPr>
        <w:t>1. 原理图完成后逐项执行电源、封装、网络名、上拉下拉、晶振、复位、启动脚和调试口检查。</w:t>
      </w:r>
    </w:p>
    <w:p>
      <w:pPr>
        <w:keepNext w:val="0"/>
        <w:spacing w:line="300" w:lineRule="auto" w:after="60"/>
        <w:jc w:val="both"/>
      </w:pPr>
      <w:r>
        <w:rPr>
          <w:rFonts w:ascii="Times New Roman" w:hAnsi="Times New Roman" w:eastAsia="宋体"/>
          <w:b w:val="0"/>
          <w:sz w:val="22"/>
        </w:rPr>
        <w:t>2. PCB按主控、模拟采集、通信和功率执行进行分区，保持连续地平面并控制大电流回流路径。</w:t>
      </w:r>
    </w:p>
    <w:p>
      <w:pPr>
        <w:keepNext w:val="0"/>
        <w:spacing w:line="300" w:lineRule="auto" w:after="60"/>
        <w:jc w:val="both"/>
      </w:pPr>
      <w:r>
        <w:rPr>
          <w:rFonts w:ascii="Times New Roman" w:hAnsi="Times New Roman" w:eastAsia="宋体"/>
          <w:b w:val="0"/>
          <w:sz w:val="22"/>
        </w:rPr>
        <w:t>3. 晶振、模拟输入和传感器接口远离PWM、继电器、无线天线及高电流走线，去耦电容紧贴电源引脚。</w:t>
      </w:r>
    </w:p>
    <w:p>
      <w:pPr>
        <w:keepNext w:val="0"/>
        <w:spacing w:line="300" w:lineRule="auto" w:after="60"/>
        <w:jc w:val="both"/>
      </w:pPr>
      <w:r>
        <w:rPr>
          <w:rFonts w:ascii="Times New Roman" w:hAnsi="Times New Roman" w:eastAsia="宋体"/>
          <w:b w:val="0"/>
          <w:sz w:val="22"/>
        </w:rPr>
        <w:t>4. 制造前核对封装尺寸、极性、孔径、线宽、安全间距和接口方向，并保留主要信号测试点。</w:t>
      </w:r>
    </w:p>
    <w:p>
      <w:pPr>
        <w:keepNext/>
        <w:spacing w:before="200" w:after="100"/>
      </w:pPr>
      <w:r>
        <w:rPr>
          <w:rFonts w:ascii="Times New Roman" w:hAnsi="Times New Roman" w:eastAsia="黑体"/>
          <w:b/>
          <w:sz w:val="30"/>
        </w:rPr>
        <w:t>九、调试与替代方案</w:t>
      </w:r>
    </w:p>
    <w:p>
      <w:pPr>
        <w:keepNext w:val="0"/>
        <w:spacing w:line="300" w:lineRule="auto" w:after="60"/>
        <w:jc w:val="both"/>
      </w:pPr>
      <w:r>
        <w:rPr>
          <w:rFonts w:ascii="Times New Roman" w:hAnsi="Times New Roman" w:eastAsia="宋体"/>
          <w:b w:val="0"/>
          <w:sz w:val="22"/>
        </w:rPr>
        <w:t>1. 先检查断电状态下的短路和极性，再限流上电测量各级电压，确认主控能够稳定下载和运行。</w:t>
      </w:r>
    </w:p>
    <w:p>
      <w:pPr>
        <w:keepNext w:val="0"/>
        <w:spacing w:line="300" w:lineRule="auto" w:after="60"/>
        <w:jc w:val="both"/>
      </w:pPr>
      <w:r>
        <w:rPr>
          <w:rFonts w:ascii="Times New Roman" w:hAnsi="Times New Roman" w:eastAsia="宋体"/>
          <w:b w:val="0"/>
          <w:sz w:val="22"/>
        </w:rPr>
        <w:t>2. 每个模块使用独立测试程序验证接口和数据，记录原始值、稳定值、异常值及环境影响。</w:t>
      </w:r>
    </w:p>
    <w:p>
      <w:pPr>
        <w:keepNext w:val="0"/>
        <w:spacing w:line="300" w:lineRule="auto" w:after="60"/>
        <w:jc w:val="both"/>
      </w:pPr>
      <w:r>
        <w:rPr>
          <w:rFonts w:ascii="Times New Roman" w:hAnsi="Times New Roman" w:eastAsia="宋体"/>
          <w:b w:val="0"/>
          <w:sz w:val="22"/>
        </w:rPr>
        <w:t>3. 整合时逐个加入模块并保留串口日志，对通信超时、采样异常、负载动作和复位原因设置明确处理。</w:t>
      </w:r>
    </w:p>
    <w:p>
      <w:pPr>
        <w:keepNext w:val="0"/>
        <w:spacing w:line="300" w:lineRule="auto" w:after="60"/>
        <w:jc w:val="both"/>
      </w:pPr>
      <w:r>
        <w:rPr>
          <w:rFonts w:ascii="Times New Roman" w:hAnsi="Times New Roman" w:eastAsia="宋体"/>
          <w:b w:val="0"/>
          <w:sz w:val="22"/>
        </w:rPr>
        <w:t>4. 传感器缺货或性能不足时，优先选择接口兼容、工作电压一致且具有完整数据手册的替代型号。</w:t>
      </w:r>
    </w:p>
    <w:p>
      <w:pPr>
        <w:keepNext w:val="0"/>
        <w:spacing w:line="300" w:lineRule="auto" w:after="60"/>
        <w:jc w:val="both"/>
      </w:pPr>
      <w:r>
        <w:rPr>
          <w:rFonts w:ascii="Times New Roman" w:hAnsi="Times New Roman" w:eastAsia="宋体"/>
          <w:b w:val="0"/>
          <w:sz w:val="22"/>
        </w:rPr>
        <w:t>5. 完成核心功能后开展连续运行、负载切换、异常输入和断线恢复测试，形成问题闭环记录。</w:t>
      </w:r>
    </w:p>
    <w:sectPr w:rsidR="00FC693F" w:rsidRPr="0006063C" w:rsidSect="00034616">
      <w:pgSz w:w="11909" w:h="16834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